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31" w:rsidRPr="005C4431" w:rsidRDefault="005C4431" w:rsidP="005C4431">
      <w:pPr>
        <w:spacing w:after="0" w:line="240" w:lineRule="auto"/>
        <w:rPr>
          <w:rFonts w:ascii="Tahoma" w:eastAsia="Times New Roman" w:hAnsi="Tahoma" w:cs="Tahoma"/>
          <w:color w:val="333333"/>
          <w:sz w:val="20"/>
          <w:szCs w:val="20"/>
          <w:lang w:eastAsia="es-AR"/>
        </w:rPr>
      </w:pPr>
      <w:r w:rsidRPr="005C4431">
        <w:rPr>
          <w:rFonts w:ascii="Tahoma" w:eastAsia="Times New Roman" w:hAnsi="Tahoma" w:cs="Tahoma"/>
          <w:b/>
          <w:color w:val="333333"/>
          <w:sz w:val="20"/>
          <w:szCs w:val="20"/>
          <w:u w:val="single"/>
          <w:lang w:eastAsia="es-AR"/>
        </w:rPr>
        <w:t>Administración Federal de Ingresos Públicos</w:t>
      </w:r>
      <w:r w:rsidRPr="005C4431">
        <w:rPr>
          <w:rFonts w:ascii="Tahoma" w:eastAsia="Times New Roman" w:hAnsi="Tahoma" w:cs="Tahoma"/>
          <w:b/>
          <w:color w:val="333333"/>
          <w:sz w:val="20"/>
          <w:szCs w:val="20"/>
          <w:u w:val="single"/>
          <w:lang w:eastAsia="es-AR"/>
        </w:rPr>
        <w:br/>
      </w:r>
      <w:r w:rsidRPr="005C4431">
        <w:rPr>
          <w:rFonts w:ascii="Tahoma" w:eastAsia="Times New Roman" w:hAnsi="Tahoma" w:cs="Tahoma"/>
          <w:b/>
          <w:color w:val="333333"/>
          <w:sz w:val="20"/>
          <w:szCs w:val="20"/>
          <w:u w:val="single"/>
          <w:lang w:eastAsia="es-AR"/>
        </w:rPr>
        <w:br/>
        <w:t>IMPUESTOS</w:t>
      </w:r>
      <w:r>
        <w:rPr>
          <w:rFonts w:ascii="Tahoma" w:eastAsia="Times New Roman" w:hAnsi="Tahoma" w:cs="Tahoma"/>
          <w:b/>
          <w:color w:val="333333"/>
          <w:sz w:val="20"/>
          <w:szCs w:val="20"/>
          <w:u w:val="single"/>
          <w:lang w:eastAsia="es-AR"/>
        </w:rPr>
        <w:t xml:space="preserve">     </w:t>
      </w:r>
      <w:r w:rsidRPr="005C4431">
        <w:rPr>
          <w:rFonts w:ascii="Tahoma" w:eastAsia="Times New Roman" w:hAnsi="Tahoma" w:cs="Tahoma"/>
          <w:b/>
          <w:color w:val="333333"/>
          <w:sz w:val="20"/>
          <w:szCs w:val="20"/>
          <w:u w:val="single"/>
          <w:lang w:eastAsia="es-AR"/>
        </w:rPr>
        <w:t>Resolución General 3997-E</w:t>
      </w:r>
      <w:r w:rsidRPr="005C4431">
        <w:rPr>
          <w:rFonts w:ascii="Tahoma" w:eastAsia="Times New Roman" w:hAnsi="Tahoma" w:cs="Tahoma"/>
          <w:b/>
          <w:color w:val="333333"/>
          <w:sz w:val="20"/>
          <w:szCs w:val="20"/>
          <w:u w:val="single"/>
          <w:lang w:eastAsia="es-AR"/>
        </w:rPr>
        <w:br/>
      </w:r>
      <w:r w:rsidRPr="005C4431">
        <w:rPr>
          <w:rFonts w:ascii="Tahoma" w:eastAsia="Times New Roman" w:hAnsi="Tahoma" w:cs="Tahoma"/>
          <w:color w:val="333333"/>
          <w:sz w:val="20"/>
          <w:szCs w:val="20"/>
          <w:lang w:eastAsia="es-AR"/>
        </w:rPr>
        <w:br/>
        <w:t>Impuesto al Valor Agregado. Ley N° 27.253. Título II. Obligación de aceptación de determinados medios de pago. Su implementación.</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Ciudad de Buenos Aires, 22/02/2017</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VISTO la Ley N° 27.253, el Decreto N° 858 del 15 de julio de 2016 y la Resolución General N° 140, sus modificatorias y su complementaria, y</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CONSIDERANDO: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la ley del VISTO dispuso, en su Título II, que los contribuyentes que realicen en forma habitual la venta de cosas muebles para consumo final, presten servicios de consumo masivo, realicen obras o efectúen locaciones de cosas muebles, deberán aceptar como medios de pago las transferencias de pago instrumentadas mediante tarjetas de débito, tarjetas prepagas no bancarias u otros medios de pago que el Poder Ejecutivo Nacional considere equivalentes, excepto en las situaciones allí previstas.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a tales fines, se facultó a esta Administración Federal para fijar el cronograma de implementación de las aludidas disposiciones.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el Artículo 1° el Decreto N° 858 del 15 de julio de 2016 especificó el concepto de tarjetas prepagas no bancarias y medios de pago equivalentes.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por otra parte, la Resolución General N° 140, sus modificatorias y su complementaria, estableció un régimen de retención del impuesto al valor agregado, aplicable a los comerciantes, locadores y prestadores de servicios adheridos a sistemas de pago con tarjetas de crédito, de compra y/o de pago.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consecuentemente, se estima oportuno establecer las fechas a partir de las cuales los contribuyentes comprendidos en el citado Título II deberán aceptar los medios de pago mencionados en el primer considerando.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r>
      <w:proofErr w:type="spellStart"/>
      <w:r w:rsidRPr="005C4431">
        <w:rPr>
          <w:rFonts w:ascii="Tahoma" w:eastAsia="Times New Roman" w:hAnsi="Tahoma" w:cs="Tahoma"/>
          <w:color w:val="333333"/>
          <w:sz w:val="20"/>
          <w:szCs w:val="20"/>
          <w:lang w:eastAsia="es-AR"/>
        </w:rPr>
        <w:t>Que</w:t>
      </w:r>
      <w:proofErr w:type="spellEnd"/>
      <w:r w:rsidRPr="005C4431">
        <w:rPr>
          <w:rFonts w:ascii="Tahoma" w:eastAsia="Times New Roman" w:hAnsi="Tahoma" w:cs="Tahoma"/>
          <w:color w:val="333333"/>
          <w:sz w:val="20"/>
          <w:szCs w:val="20"/>
          <w:lang w:eastAsia="es-AR"/>
        </w:rPr>
        <w:t xml:space="preserve"> asimismo, razones de administración tributaria aconsejan reducir, para las operaciones canceladas mediante la utilización de tarjetas de acceso a cuentas de entidades financieras regidas por la Ley </w:t>
      </w:r>
      <w:proofErr w:type="spellStart"/>
      <w:r w:rsidRPr="005C4431">
        <w:rPr>
          <w:rFonts w:ascii="Tahoma" w:eastAsia="Times New Roman" w:hAnsi="Tahoma" w:cs="Tahoma"/>
          <w:color w:val="333333"/>
          <w:sz w:val="20"/>
          <w:szCs w:val="20"/>
          <w:lang w:eastAsia="es-AR"/>
        </w:rPr>
        <w:t>Nº</w:t>
      </w:r>
      <w:proofErr w:type="spellEnd"/>
      <w:r w:rsidRPr="005C4431">
        <w:rPr>
          <w:rFonts w:ascii="Tahoma" w:eastAsia="Times New Roman" w:hAnsi="Tahoma" w:cs="Tahoma"/>
          <w:color w:val="333333"/>
          <w:sz w:val="20"/>
          <w:szCs w:val="20"/>
          <w:lang w:eastAsia="es-AR"/>
        </w:rPr>
        <w:t xml:space="preserve"> 21.526 y sus modificaciones (tarjetas de débito), la alícuota de retención del impuesto al valor agregado.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Que han tomado la intervención que les compete la Dirección de Legislación, las Subdirecciones Generales de Asuntos Jurídicos, de Fiscalización, de Recaudación, de Servicios al Contribuyente, y la Dirección General Impositiva.</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 xml:space="preserve">Que la presente se dicta en ejercicio de las facultades conferidas por el Artículo 11 de la Ley N° 27.253 y por el Artículo 7° del Decreto </w:t>
      </w:r>
      <w:proofErr w:type="spellStart"/>
      <w:r w:rsidRPr="005C4431">
        <w:rPr>
          <w:rFonts w:ascii="Tahoma" w:eastAsia="Times New Roman" w:hAnsi="Tahoma" w:cs="Tahoma"/>
          <w:color w:val="333333"/>
          <w:sz w:val="20"/>
          <w:szCs w:val="20"/>
          <w:lang w:eastAsia="es-AR"/>
        </w:rPr>
        <w:t>Nº</w:t>
      </w:r>
      <w:proofErr w:type="spellEnd"/>
      <w:r w:rsidRPr="005C4431">
        <w:rPr>
          <w:rFonts w:ascii="Tahoma" w:eastAsia="Times New Roman" w:hAnsi="Tahoma" w:cs="Tahoma"/>
          <w:color w:val="333333"/>
          <w:sz w:val="20"/>
          <w:szCs w:val="20"/>
          <w:lang w:eastAsia="es-AR"/>
        </w:rPr>
        <w:t xml:space="preserve"> 618 del 10 de julio de 1997, sus modificatorios y sus complementarios.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Por ello,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EL ADMINISTRADOR FEDERAL DE LA ADMINISTRACIÓN FEDERAL DE INGRESOS PÚBLICOS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RESUELVE:</w:t>
      </w:r>
      <w:r w:rsidRPr="005C4431">
        <w:rPr>
          <w:rFonts w:ascii="Tahoma" w:eastAsia="Times New Roman" w:hAnsi="Tahoma" w:cs="Tahoma"/>
          <w:color w:val="333333"/>
          <w:sz w:val="20"/>
          <w:szCs w:val="20"/>
          <w:lang w:eastAsia="es-AR"/>
        </w:rPr>
        <w:br/>
      </w:r>
    </w:p>
    <w:p w:rsidR="005C4431" w:rsidRPr="005C4431" w:rsidRDefault="005C4431" w:rsidP="005C4431">
      <w:pPr>
        <w:shd w:val="clear" w:color="auto" w:fill="B3D9E2"/>
        <w:spacing w:after="0" w:line="240" w:lineRule="auto"/>
        <w:jc w:val="center"/>
        <w:rPr>
          <w:rFonts w:ascii="Tahoma" w:eastAsia="Times New Roman" w:hAnsi="Tahoma" w:cs="Tahoma"/>
          <w:color w:val="333333"/>
          <w:sz w:val="20"/>
          <w:szCs w:val="20"/>
          <w:lang w:eastAsia="es-AR"/>
        </w:rPr>
      </w:pPr>
      <w:r w:rsidRPr="005C4431">
        <w:rPr>
          <w:rFonts w:ascii="Tahoma" w:eastAsia="Times New Roman" w:hAnsi="Tahoma" w:cs="Tahoma"/>
          <w:color w:val="333333"/>
          <w:sz w:val="20"/>
          <w:szCs w:val="20"/>
          <w:lang w:eastAsia="es-AR"/>
        </w:rPr>
        <w:t>TÍTULO I</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REGLAMENTACIÓN DEL ARTÍCULO 10 DE LA LEY N° 27.253</w:t>
      </w:r>
    </w:p>
    <w:p w:rsidR="005C4431" w:rsidRPr="005C4431" w:rsidRDefault="005C4431" w:rsidP="005C4431">
      <w:pPr>
        <w:spacing w:after="0" w:line="240" w:lineRule="auto"/>
        <w:rPr>
          <w:rFonts w:ascii="Tahoma" w:eastAsia="Times New Roman" w:hAnsi="Tahoma" w:cs="Tahoma"/>
          <w:color w:val="333333"/>
          <w:sz w:val="20"/>
          <w:szCs w:val="20"/>
          <w:lang w:eastAsia="es-AR"/>
        </w:rPr>
      </w:pPr>
      <w:r w:rsidRPr="005C4431">
        <w:rPr>
          <w:rFonts w:ascii="Tahoma" w:eastAsia="Times New Roman" w:hAnsi="Tahoma" w:cs="Tahoma"/>
          <w:color w:val="333333"/>
          <w:sz w:val="20"/>
          <w:szCs w:val="20"/>
          <w:lang w:eastAsia="es-AR"/>
        </w:rPr>
        <w:lastRenderedPageBreak/>
        <w:br/>
        <w:t>ARTÍCULO 1° — La obligación de aceptar las transferencias de pago instrumentadas mediante tarjetas de débito, tarjetas prepagas no bancarias u otros medios de pago equivalentes —dispuestos por el Decreto N° 858 del 15 de julio de 2016 y los que en el futuro se establezcan— por parte de los contribuyentes inscriptos en el impuesto al valor agregado que realicen en forma habitual la venta de cosas muebles para consumo final, presten servicios de consumo masivo, realicen obras o efectúen locaciones de cosas muebles en los términos del Artículo 10 de la Ley N° 27.253, resultará de aplicación a partir de las fechas que seguidamente se indican, según la sección a la que pertenece el código de la actividad desarrollada —de acuerdo con el “Clasificador de Actividades Económicas (CLAE) - F. 883” establecido por la Resolución General N° 3.537— y el monto total de ingresos brutos anuales que surjan del último balance comercial cerrado con anterioridad al 31 de diciembre de 2015, inclusive, o los obtenidos durante dicho año calendario de tratarse de sujetos que no confeccionan balances comerciales: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 Sección G - COMERCIO AL POR MAYOR Y AL POR MENOR; REPARACIÓN DE VEHÍCULOS AUTOMOTORES Y MOTOCICLETAS y Sección I -SERVICIOS DE ALOJAMIENTO Y SERVICIOS DE COMIDA, con ingresos: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1. Mayores o iguales a CUATRO MILLONES DE PESOS ($ 4.000.000.-): 30 de abril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 Mayores a UN MILLÓN DE PESOS ($ 1.000.000.-) y menores a CUATRO MILLONES DE PESOS ($ 4.000.000.-): 31 de mayo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3. Menores o iguales a UN MILLÓN DE PESOS ($ 1.000.000.-): 30 de junio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b) Sección M - SERVICIOS PROFESIONALES, CIENTÍFICOS Y TÉCNICOS, Sección Q - SALUD HUMANA Y SERVICIOS SOCIALES, Sección R -SERVICIOS ARTÍSTICOS, CULTURALES, DEPORTIVOS Y DE ESPARCIMIENTO y Sección S - SERVICIOS DE ASOCIACIONES Y SERVICIOS PERSONALES, con ingresos: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1. Mayores o iguales a CUATRO MILLONES DE PESOS ($ 4.000.000.-): 31 de julio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 Mayores a UN MILLÓN DE PESOS ($ 1.000.000.-) y menores a CUATRO MILLONES DE PESOS ($ 4.000.000.-): 31 de agosto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3. Menores o guales a UN MILLÓN DE PESOS ($ 1.000.000.-): 30 de septiembre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c) Secciones no enumeradas en los incisos a) y b), con ingresos: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1. Mayores o iguales a CUATRO MILLONES DE PESOS ($ 4.000.000.-): 31 de octubre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 Mayores a UN MILLÓN DE PESOS ($ 1.000.000.-) y menores a $ CUATRO MILLONES DE PESOS ($ 4.000.000.-): 30 de noviembre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3. Menores o iguales a UN MILLÓN DE PESOS ($ 1.000.000.-): 31 de diciembre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En caso de desarrollarse dos o más actividades, deberá considerarse la fecha de aplicación correspondiente a la actividad principal declarada ante este Organismo al 31 de diciembre de 2015 y sumarse los ingresos brutos anuales de todas las actividades.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 xml:space="preserve">(Nota </w:t>
      </w:r>
      <w:proofErr w:type="spellStart"/>
      <w:r w:rsidRPr="005C4431">
        <w:rPr>
          <w:rFonts w:ascii="Tahoma" w:eastAsia="Times New Roman" w:hAnsi="Tahoma" w:cs="Tahoma"/>
          <w:color w:val="333333"/>
          <w:sz w:val="20"/>
          <w:szCs w:val="20"/>
          <w:lang w:eastAsia="es-AR"/>
        </w:rPr>
        <w:t>Infoleg</w:t>
      </w:r>
      <w:proofErr w:type="spellEnd"/>
      <w:r w:rsidRPr="005C4431">
        <w:rPr>
          <w:rFonts w:ascii="Tahoma" w:eastAsia="Times New Roman" w:hAnsi="Tahoma" w:cs="Tahoma"/>
          <w:color w:val="333333"/>
          <w:sz w:val="20"/>
          <w:szCs w:val="20"/>
          <w:lang w:eastAsia="es-AR"/>
        </w:rPr>
        <w:t>: por art. 3° de la </w:t>
      </w:r>
      <w:hyperlink r:id="rId5" w:history="1">
        <w:r w:rsidRPr="005C4431">
          <w:rPr>
            <w:rFonts w:ascii="Tahoma" w:eastAsia="Times New Roman" w:hAnsi="Tahoma" w:cs="Tahoma"/>
            <w:color w:val="333333"/>
            <w:sz w:val="20"/>
            <w:szCs w:val="20"/>
            <w:lang w:eastAsia="es-AR"/>
          </w:rPr>
          <w:t>Resolución General N° 4042/2017</w:t>
        </w:r>
      </w:hyperlink>
      <w:r w:rsidRPr="005C4431">
        <w:rPr>
          <w:rFonts w:ascii="Tahoma" w:eastAsia="Times New Roman" w:hAnsi="Tahoma" w:cs="Tahoma"/>
          <w:color w:val="333333"/>
          <w:sz w:val="20"/>
          <w:szCs w:val="20"/>
          <w:lang w:eastAsia="es-AR"/>
        </w:rPr>
        <w:t xml:space="preserve"> de la AFIP B.O. 8/5/2017 se establece que los contribuyentes deberán exhibir el Formulario </w:t>
      </w:r>
      <w:proofErr w:type="spellStart"/>
      <w:r w:rsidRPr="005C4431">
        <w:rPr>
          <w:rFonts w:ascii="Tahoma" w:eastAsia="Times New Roman" w:hAnsi="Tahoma" w:cs="Tahoma"/>
          <w:color w:val="333333"/>
          <w:sz w:val="20"/>
          <w:szCs w:val="20"/>
          <w:lang w:eastAsia="es-AR"/>
        </w:rPr>
        <w:t>Nº</w:t>
      </w:r>
      <w:proofErr w:type="spellEnd"/>
      <w:r w:rsidRPr="005C4431">
        <w:rPr>
          <w:rFonts w:ascii="Tahoma" w:eastAsia="Times New Roman" w:hAnsi="Tahoma" w:cs="Tahoma"/>
          <w:color w:val="333333"/>
          <w:sz w:val="20"/>
          <w:szCs w:val="20"/>
          <w:lang w:eastAsia="es-AR"/>
        </w:rPr>
        <w:t xml:space="preserve"> 960/D - “Data Fiscal” a partir de la fecha en que les corresponda cumplir con la obligación de aceptar las transferencias de </w:t>
      </w:r>
      <w:r w:rsidRPr="005C4431">
        <w:rPr>
          <w:rFonts w:ascii="Tahoma" w:eastAsia="Times New Roman" w:hAnsi="Tahoma" w:cs="Tahoma"/>
          <w:color w:val="333333"/>
          <w:sz w:val="20"/>
          <w:szCs w:val="20"/>
          <w:lang w:eastAsia="es-AR"/>
        </w:rPr>
        <w:lastRenderedPageBreak/>
        <w:t>pago instrumentadas mediante tarjetas de débito, tarjetas prepagas no bancarias u otros medios de pago equivalentes, conforme lo establecido por la Resolución General N° 3.997-E. Vigencia: a partir del día de su publicación en el Boletín Oficial, inclusive, y será de aplicación de acuerdo con lo previsto en el Artículo 3°. No obstante, para los contribuyentes que deban implementar los medios de pago aludidos en el Artículo 3° el 30 de abril de 2017 –conforme lo previsto en el punto 1 del inciso a) del Artículo 1° de la Resolución General N° 3.997-E-, la obligación de imprimir y exhibir el Formulario N° 960/D – “Data Fiscal” será de aplicación a partir del 8 de mayo de 2017, inclusive. El Formulario N° 960/D – “Data Fiscal” que se encontrará disponible en el sitio “web” institucional.)</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2° — Los responsables inscriptos en el impuesto al valor agregado que no hubieran obtenido ingresos durante el período fiscal 2015 por haber iniciado actividades con posterioridad, deberán cumplir con la referida obligación desde la fecha prevista en el punto 3. del inciso a), b) o c) del artículo anterior, según sea la actividad desarrollada, o desde la fecha de inicio de la misma, cuando ésta sea posterior.</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3° — De tratarse de pequeños contribuyentes adheridos al Régimen Simplificado para Pequeños Contribuyentes (RS), la obligación prevista en el Artículo 1°, será de aplicación de acuerdo al siguiente cronograma:</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 Categorías F, G, H, I, J y K: a partir del 31 de diciembre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b) Categorías A, B, C, D y E: a partir del 31 de marzo de 2018,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4° — Los sujetos alcanzados por las disposiciones del Artículo 10 de la Ley N° 27.253 quedan exceptuados de aceptar los medios de pago previstos en la presente, únicamente cuando se produzca alguna de las siguientes situaciones:</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 La actividad se desarrolle en localidades cuya población resulte menor a UN MIL (1.000) habitantes, de acuerdo con los datos oficiales publicados por el Instituto Nacional de Estadística y Censos organismo descentralizado en el ámbito del Ministerio de Hacienda, correspondientes al último censo poblacional realizado.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b) El importe de la operación sea inferior a DIEZ PESOS ($ 10.-).</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5° — La obligación establecida por el Artículo 10 de la Ley N° 27.253 se considerará cumplida cuando los dispositivos implementados por el contribuyente a fin de aceptar los medios de pago a que hace referencia el Artículo 1° puedan ser efectivamente utilizados en la totalidad de las operaciones que realicen.</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6° — El incumplimiento de las disposiciones establecidas por este título, dará lugar a la aplicación de las sanciones previstas en el Artículo 13 de la Ley N° 27.253.</w:t>
      </w:r>
      <w:r w:rsidRPr="005C4431">
        <w:rPr>
          <w:rFonts w:ascii="Tahoma" w:eastAsia="Times New Roman" w:hAnsi="Tahoma" w:cs="Tahoma"/>
          <w:color w:val="333333"/>
          <w:sz w:val="20"/>
          <w:szCs w:val="20"/>
          <w:lang w:eastAsia="es-AR"/>
        </w:rPr>
        <w:br/>
      </w:r>
    </w:p>
    <w:p w:rsidR="005C4431" w:rsidRPr="005C4431" w:rsidRDefault="005C4431" w:rsidP="005C4431">
      <w:pPr>
        <w:shd w:val="clear" w:color="auto" w:fill="B3D9E2"/>
        <w:spacing w:after="0" w:line="240" w:lineRule="auto"/>
        <w:jc w:val="center"/>
        <w:rPr>
          <w:rFonts w:ascii="Tahoma" w:eastAsia="Times New Roman" w:hAnsi="Tahoma" w:cs="Tahoma"/>
          <w:color w:val="333333"/>
          <w:sz w:val="20"/>
          <w:szCs w:val="20"/>
          <w:lang w:eastAsia="es-AR"/>
        </w:rPr>
      </w:pPr>
      <w:r w:rsidRPr="005C4431">
        <w:rPr>
          <w:rFonts w:ascii="Tahoma" w:eastAsia="Times New Roman" w:hAnsi="Tahoma" w:cs="Tahoma"/>
          <w:color w:val="333333"/>
          <w:sz w:val="20"/>
          <w:szCs w:val="20"/>
          <w:lang w:eastAsia="es-AR"/>
        </w:rPr>
        <w:t>TÍTULO II</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OTRAS DISPOSICIONES</w:t>
      </w:r>
    </w:p>
    <w:p w:rsidR="00607BF6" w:rsidRPr="005C4431" w:rsidRDefault="005C4431" w:rsidP="005C4431">
      <w:pPr>
        <w:shd w:val="clear" w:color="auto" w:fill="FFFFFF"/>
        <w:spacing w:after="0" w:line="240" w:lineRule="auto"/>
        <w:jc w:val="both"/>
        <w:rPr>
          <w:rFonts w:ascii="Tahoma" w:eastAsia="Times New Roman" w:hAnsi="Tahoma" w:cs="Tahoma"/>
          <w:color w:val="333333"/>
          <w:sz w:val="20"/>
          <w:szCs w:val="20"/>
          <w:lang w:eastAsia="es-AR"/>
        </w:rPr>
      </w:pPr>
      <w:r w:rsidRPr="005C4431">
        <w:rPr>
          <w:rFonts w:ascii="Tahoma" w:eastAsia="Times New Roman" w:hAnsi="Tahoma" w:cs="Tahoma"/>
          <w:color w:val="333333"/>
          <w:sz w:val="20"/>
          <w:szCs w:val="20"/>
          <w:lang w:eastAsia="es-AR"/>
        </w:rPr>
        <w:br/>
        <w:t xml:space="preserve">ARTÍCULO 7° — </w:t>
      </w:r>
      <w:proofErr w:type="spellStart"/>
      <w:r w:rsidRPr="005C4431">
        <w:rPr>
          <w:rFonts w:ascii="Tahoma" w:eastAsia="Times New Roman" w:hAnsi="Tahoma" w:cs="Tahoma"/>
          <w:color w:val="333333"/>
          <w:sz w:val="20"/>
          <w:szCs w:val="20"/>
          <w:lang w:eastAsia="es-AR"/>
        </w:rPr>
        <w:t>Sustitúyese</w:t>
      </w:r>
      <w:proofErr w:type="spellEnd"/>
      <w:r w:rsidRPr="005C4431">
        <w:rPr>
          <w:rFonts w:ascii="Tahoma" w:eastAsia="Times New Roman" w:hAnsi="Tahoma" w:cs="Tahoma"/>
          <w:color w:val="333333"/>
          <w:sz w:val="20"/>
          <w:szCs w:val="20"/>
          <w:lang w:eastAsia="es-AR"/>
        </w:rPr>
        <w:t xml:space="preserve"> el inciso a) del Artículo 4° de la Resolución General N° 140 y sus modificatorias, por el siguiente: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 xml:space="preserve">“a) </w:t>
      </w:r>
      <w:proofErr w:type="gramStart"/>
      <w:r w:rsidRPr="005C4431">
        <w:rPr>
          <w:rFonts w:ascii="Tahoma" w:eastAsia="Times New Roman" w:hAnsi="Tahoma" w:cs="Tahoma"/>
          <w:color w:val="333333"/>
          <w:sz w:val="20"/>
          <w:szCs w:val="20"/>
          <w:lang w:eastAsia="es-AR"/>
        </w:rPr>
        <w:t>Responsables</w:t>
      </w:r>
      <w:proofErr w:type="gramEnd"/>
      <w:r w:rsidRPr="005C4431">
        <w:rPr>
          <w:rFonts w:ascii="Tahoma" w:eastAsia="Times New Roman" w:hAnsi="Tahoma" w:cs="Tahoma"/>
          <w:color w:val="333333"/>
          <w:sz w:val="20"/>
          <w:szCs w:val="20"/>
          <w:lang w:eastAsia="es-AR"/>
        </w:rPr>
        <w:t xml:space="preserve"> inscriptos en el impuesto al valor agregado:</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1. Sujetos comprendidos en el Anexo I de la Resolución General N° 2.854 y sus modificatorias, y estaciones de servicio, por operaciones canceladas mediante la utilización de: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1.1. Tarjetas de acceso a cuentas de entidades financieras regidas por la Ley N° 21.526 y sus modificaciones (tarjetas de débito): CINCUENTA CENTÉSIMOS POR CIENTO (0,50%).</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lastRenderedPageBreak/>
        <w:t>1.2. Tarjetas no comprendidas en el punto anterior: UNO POR CIENTO (1%).</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 Demás responsables, por operaciones canceladas mediante la utilización de: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2.1. Tarjetas de acceso a cuentas de entidades financieras regidas por la Ley N° 21.526 y sus modificaciones (tarjetas de débito): CINCUENTA CENTÉSIMOS POR CIENTO (0,50%).</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2.2. Tarjetas no comprendidas en el punto anterior: TRES POR CIENTO (3%).”.</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ARTÍCULO 8° — Las disposiciones de esta resolución general entrarán en vigencia el día de su publicación en el Boletín Oficial.</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No obstante, la modificación dispuesta por el Artículo 7° será de aplicación respecto de las liquidaciones que se presenten al cobro a partir del 1 de marzo de 2017, inclusive.</w:t>
      </w:r>
      <w:r w:rsidRPr="005C4431">
        <w:rPr>
          <w:rFonts w:ascii="Tahoma" w:eastAsia="Times New Roman" w:hAnsi="Tahoma" w:cs="Tahoma"/>
          <w:color w:val="333333"/>
          <w:sz w:val="20"/>
          <w:szCs w:val="20"/>
          <w:lang w:eastAsia="es-AR"/>
        </w:rPr>
        <w:br/>
      </w:r>
      <w:r w:rsidRPr="005C4431">
        <w:rPr>
          <w:rFonts w:ascii="Tahoma" w:eastAsia="Times New Roman" w:hAnsi="Tahoma" w:cs="Tahoma"/>
          <w:color w:val="333333"/>
          <w:sz w:val="20"/>
          <w:szCs w:val="20"/>
          <w:lang w:eastAsia="es-AR"/>
        </w:rPr>
        <w:br/>
        <w:t xml:space="preserve">ARTÍCULO 9° — Publíquese, </w:t>
      </w:r>
      <w:proofErr w:type="spellStart"/>
      <w:r w:rsidRPr="005C4431">
        <w:rPr>
          <w:rFonts w:ascii="Tahoma" w:eastAsia="Times New Roman" w:hAnsi="Tahoma" w:cs="Tahoma"/>
          <w:color w:val="333333"/>
          <w:sz w:val="20"/>
          <w:szCs w:val="20"/>
          <w:lang w:eastAsia="es-AR"/>
        </w:rPr>
        <w:t>dése</w:t>
      </w:r>
      <w:proofErr w:type="spellEnd"/>
      <w:r w:rsidRPr="005C4431">
        <w:rPr>
          <w:rFonts w:ascii="Tahoma" w:eastAsia="Times New Roman" w:hAnsi="Tahoma" w:cs="Tahoma"/>
          <w:color w:val="333333"/>
          <w:sz w:val="20"/>
          <w:szCs w:val="20"/>
          <w:lang w:eastAsia="es-AR"/>
        </w:rPr>
        <w:t xml:space="preserve"> a la Dirección Nacional del Registro Oficial y archívese. — Alberto R. Abad.</w:t>
      </w:r>
      <w:bookmarkStart w:id="0" w:name="_GoBack"/>
      <w:bookmarkEnd w:id="0"/>
    </w:p>
    <w:sectPr w:rsidR="00607BF6" w:rsidRPr="005C44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96C"/>
    <w:multiLevelType w:val="multilevel"/>
    <w:tmpl w:val="135270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6C93544"/>
    <w:multiLevelType w:val="multilevel"/>
    <w:tmpl w:val="D73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15FAD"/>
    <w:multiLevelType w:val="hybridMultilevel"/>
    <w:tmpl w:val="5C5A81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2225D77"/>
    <w:multiLevelType w:val="hybridMultilevel"/>
    <w:tmpl w:val="D86A112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15:restartNumberingAfterBreak="0">
    <w:nsid w:val="73DC0CBA"/>
    <w:multiLevelType w:val="multilevel"/>
    <w:tmpl w:val="D73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A4"/>
    <w:rsid w:val="00025180"/>
    <w:rsid w:val="00096A4F"/>
    <w:rsid w:val="000D2734"/>
    <w:rsid w:val="00172F01"/>
    <w:rsid w:val="001B25DD"/>
    <w:rsid w:val="001E50AD"/>
    <w:rsid w:val="0022662A"/>
    <w:rsid w:val="00244C0B"/>
    <w:rsid w:val="00296DC9"/>
    <w:rsid w:val="002F4437"/>
    <w:rsid w:val="00313BB4"/>
    <w:rsid w:val="00386309"/>
    <w:rsid w:val="003C153E"/>
    <w:rsid w:val="00493520"/>
    <w:rsid w:val="00596E83"/>
    <w:rsid w:val="005C4431"/>
    <w:rsid w:val="00607BF6"/>
    <w:rsid w:val="00642386"/>
    <w:rsid w:val="006A5D1E"/>
    <w:rsid w:val="00721AE1"/>
    <w:rsid w:val="007B49B1"/>
    <w:rsid w:val="007D3320"/>
    <w:rsid w:val="007F36DF"/>
    <w:rsid w:val="0081307A"/>
    <w:rsid w:val="0081770E"/>
    <w:rsid w:val="00830175"/>
    <w:rsid w:val="00831245"/>
    <w:rsid w:val="00835FC5"/>
    <w:rsid w:val="008872DC"/>
    <w:rsid w:val="00956430"/>
    <w:rsid w:val="00A55AA4"/>
    <w:rsid w:val="00B415FA"/>
    <w:rsid w:val="00C44E9B"/>
    <w:rsid w:val="00C53822"/>
    <w:rsid w:val="00C8522F"/>
    <w:rsid w:val="00CA36CB"/>
    <w:rsid w:val="00D23B2D"/>
    <w:rsid w:val="00D758DF"/>
    <w:rsid w:val="00DD3136"/>
    <w:rsid w:val="00DE0372"/>
    <w:rsid w:val="00EA0A67"/>
    <w:rsid w:val="00EC4C96"/>
    <w:rsid w:val="00FB63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9355"/>
  <w15:chartTrackingRefBased/>
  <w15:docId w15:val="{BC968B57-9D11-42FB-B2CA-052BF8C4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55AA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596E83"/>
    <w:rPr>
      <w:color w:val="0000FF"/>
      <w:u w:val="single"/>
    </w:rPr>
  </w:style>
  <w:style w:type="paragraph" w:styleId="Prrafodelista">
    <w:name w:val="List Paragraph"/>
    <w:basedOn w:val="Normal"/>
    <w:uiPriority w:val="34"/>
    <w:qFormat/>
    <w:rsid w:val="00956430"/>
    <w:pPr>
      <w:ind w:left="720"/>
      <w:contextualSpacing/>
    </w:pPr>
  </w:style>
  <w:style w:type="paragraph" w:customStyle="1" w:styleId="aviso-organismo">
    <w:name w:val="aviso-organismo"/>
    <w:basedOn w:val="Normal"/>
    <w:rsid w:val="003C153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3C153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3C153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3C153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07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5771">
      <w:bodyDiv w:val="1"/>
      <w:marLeft w:val="0"/>
      <w:marRight w:val="0"/>
      <w:marTop w:val="0"/>
      <w:marBottom w:val="0"/>
      <w:divBdr>
        <w:top w:val="none" w:sz="0" w:space="0" w:color="auto"/>
        <w:left w:val="none" w:sz="0" w:space="0" w:color="auto"/>
        <w:bottom w:val="none" w:sz="0" w:space="0" w:color="auto"/>
        <w:right w:val="none" w:sz="0" w:space="0" w:color="auto"/>
      </w:divBdr>
    </w:div>
    <w:div w:id="126626059">
      <w:bodyDiv w:val="1"/>
      <w:marLeft w:val="0"/>
      <w:marRight w:val="0"/>
      <w:marTop w:val="0"/>
      <w:marBottom w:val="0"/>
      <w:divBdr>
        <w:top w:val="none" w:sz="0" w:space="0" w:color="auto"/>
        <w:left w:val="none" w:sz="0" w:space="0" w:color="auto"/>
        <w:bottom w:val="none" w:sz="0" w:space="0" w:color="auto"/>
        <w:right w:val="none" w:sz="0" w:space="0" w:color="auto"/>
      </w:divBdr>
      <w:divsChild>
        <w:div w:id="1315187208">
          <w:marLeft w:val="0"/>
          <w:marRight w:val="375"/>
          <w:marTop w:val="150"/>
          <w:marBottom w:val="0"/>
          <w:divBdr>
            <w:top w:val="none" w:sz="0" w:space="0" w:color="auto"/>
            <w:left w:val="none" w:sz="0" w:space="0" w:color="auto"/>
            <w:bottom w:val="none" w:sz="0" w:space="0" w:color="auto"/>
            <w:right w:val="none" w:sz="0" w:space="0" w:color="auto"/>
          </w:divBdr>
        </w:div>
      </w:divsChild>
    </w:div>
    <w:div w:id="235632955">
      <w:bodyDiv w:val="1"/>
      <w:marLeft w:val="0"/>
      <w:marRight w:val="0"/>
      <w:marTop w:val="0"/>
      <w:marBottom w:val="0"/>
      <w:divBdr>
        <w:top w:val="none" w:sz="0" w:space="0" w:color="auto"/>
        <w:left w:val="none" w:sz="0" w:space="0" w:color="auto"/>
        <w:bottom w:val="none" w:sz="0" w:space="0" w:color="auto"/>
        <w:right w:val="none" w:sz="0" w:space="0" w:color="auto"/>
      </w:divBdr>
    </w:div>
    <w:div w:id="316811405">
      <w:bodyDiv w:val="1"/>
      <w:marLeft w:val="0"/>
      <w:marRight w:val="0"/>
      <w:marTop w:val="0"/>
      <w:marBottom w:val="0"/>
      <w:divBdr>
        <w:top w:val="none" w:sz="0" w:space="0" w:color="auto"/>
        <w:left w:val="none" w:sz="0" w:space="0" w:color="auto"/>
        <w:bottom w:val="none" w:sz="0" w:space="0" w:color="auto"/>
        <w:right w:val="none" w:sz="0" w:space="0" w:color="auto"/>
      </w:divBdr>
    </w:div>
    <w:div w:id="630357903">
      <w:bodyDiv w:val="1"/>
      <w:marLeft w:val="0"/>
      <w:marRight w:val="0"/>
      <w:marTop w:val="0"/>
      <w:marBottom w:val="0"/>
      <w:divBdr>
        <w:top w:val="none" w:sz="0" w:space="0" w:color="auto"/>
        <w:left w:val="none" w:sz="0" w:space="0" w:color="auto"/>
        <w:bottom w:val="none" w:sz="0" w:space="0" w:color="auto"/>
        <w:right w:val="none" w:sz="0" w:space="0" w:color="auto"/>
      </w:divBdr>
    </w:div>
    <w:div w:id="990644139">
      <w:bodyDiv w:val="1"/>
      <w:marLeft w:val="0"/>
      <w:marRight w:val="0"/>
      <w:marTop w:val="0"/>
      <w:marBottom w:val="0"/>
      <w:divBdr>
        <w:top w:val="none" w:sz="0" w:space="0" w:color="auto"/>
        <w:left w:val="none" w:sz="0" w:space="0" w:color="auto"/>
        <w:bottom w:val="none" w:sz="0" w:space="0" w:color="auto"/>
        <w:right w:val="none" w:sz="0" w:space="0" w:color="auto"/>
      </w:divBdr>
    </w:div>
    <w:div w:id="1224365878">
      <w:bodyDiv w:val="1"/>
      <w:marLeft w:val="0"/>
      <w:marRight w:val="0"/>
      <w:marTop w:val="0"/>
      <w:marBottom w:val="0"/>
      <w:divBdr>
        <w:top w:val="none" w:sz="0" w:space="0" w:color="auto"/>
        <w:left w:val="none" w:sz="0" w:space="0" w:color="auto"/>
        <w:bottom w:val="none" w:sz="0" w:space="0" w:color="auto"/>
        <w:right w:val="none" w:sz="0" w:space="0" w:color="auto"/>
      </w:divBdr>
      <w:divsChild>
        <w:div w:id="599869780">
          <w:marLeft w:val="0"/>
          <w:marRight w:val="0"/>
          <w:marTop w:val="0"/>
          <w:marBottom w:val="0"/>
          <w:divBdr>
            <w:top w:val="none" w:sz="0" w:space="0" w:color="auto"/>
            <w:left w:val="none" w:sz="0" w:space="0" w:color="auto"/>
            <w:bottom w:val="none" w:sz="0" w:space="0" w:color="auto"/>
            <w:right w:val="none" w:sz="0" w:space="0" w:color="auto"/>
          </w:divBdr>
        </w:div>
      </w:divsChild>
    </w:div>
    <w:div w:id="19469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vicios.infoleg.gob.ar/infolegInternet/verNorma.do?id=27442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2</cp:revision>
  <dcterms:created xsi:type="dcterms:W3CDTF">2018-04-20T12:24:00Z</dcterms:created>
  <dcterms:modified xsi:type="dcterms:W3CDTF">2018-04-20T12:24:00Z</dcterms:modified>
</cp:coreProperties>
</file>